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realocar recursos para instalação de uma academia ao ar livre no Bairro Glória. Este projeto se justifica pela </w:t>
            </w:r>
            <w:r>
              <w:rPr>
                <w:rStyle w:val="Hgkelc"/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  <w:lang w:val="pt-PT"/>
              </w:rPr>
              <w:t>importância de incentivar as pessoas a praticarem atividade física e a exercitarem-se diariamente. Além da m</w:t>
            </w:r>
            <w:r>
              <w:rPr>
                <w:rStyle w:val="Hgkelc"/>
                <w:rFonts w:cs="Calibri"/>
                <w:b w:val="false"/>
                <w:bCs/>
                <w:color w:val="000000" w:themeColor="text1"/>
                <w:sz w:val="24"/>
                <w:szCs w:val="24"/>
                <w:shd w:fill="FFFFFF" w:val="clear"/>
                <w:lang w:val="pt-PT"/>
              </w:rPr>
              <w:t>elhoria da condição física, qualidade de vida e saúde, também proporciona momentos de lazer às famílias que integram a referida comunidade.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/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/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</w:t>
            </w: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EREADOR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LibreOffice/7.4.2.3$Windows_X86_64 LibreOffice_project/382eef1f22670f7f4118c8c2dd222ec7ad009daf</Application>
  <AppVersion>15.0000</AppVersion>
  <Pages>2</Pages>
  <Words>233</Words>
  <Characters>1413</Characters>
  <CharactersWithSpaces>1600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2023-11-23T11:15:40Z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